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VoegeleHdBIP-GL-sect7-L-RN-9"/>
          <w:lang w:val="de" w:eastAsia="de"/>
        </w:rPr>
        <w:t>Cochran-Hildmann/</w:t>
      </w:r>
      <w:r>
        <w:rPr>
          <w:rStyle w:val="Y-400-W-VoegeleHdBIP-GL-sect7-L-RN-9"/>
          <w:rFonts w:ascii="Arial" w:eastAsia="Arial" w:hAnsi="Arial" w:cs="Arial"/>
          <w:lang w:val="de" w:eastAsia="de"/>
        </w:rPr>
        <w:t>​</w:t>
      </w:r>
      <w:r>
        <w:rPr>
          <w:rStyle w:val="Y-400-W-VoegeleHdBIP-GL-sect7-L-RN-9"/>
          <w:lang w:val="de" w:eastAsia="de"/>
        </w:rPr>
        <w:t>Stefanova-Behlert/</w:t>
      </w:r>
      <w:r>
        <w:rPr>
          <w:rStyle w:val="Y-400-W-VoegeleHdBIP-GL-sect7-L-RN-9"/>
          <w:rFonts w:ascii="Arial" w:eastAsia="Arial" w:hAnsi="Arial" w:cs="Arial"/>
          <w:lang w:val="de" w:eastAsia="de"/>
        </w:rPr>
        <w:t>​</w:t>
      </w:r>
      <w:r>
        <w:rPr>
          <w:rStyle w:val="Y-400-W-VoegeleHdBIP-GL-sect7-L-RN-9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FNAID0EXZL4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VoegeleHdBIP-GL-sect7-L-RN-9"/>
          <w:lang w:val="de" w:eastAsia="de"/>
        </w:rPr>
        <w:t>Poepping/</w:t>
      </w:r>
      <w:r>
        <w:rPr>
          <w:rStyle w:val="Y-400-W-VoegeleHdBIP-GL-sect7-L-RN-9"/>
          <w:rFonts w:ascii="Arial" w:eastAsia="Arial" w:hAnsi="Arial" w:cs="Arial"/>
          <w:lang w:val="de" w:eastAsia="de"/>
        </w:rPr>
        <w:t>​</w:t>
      </w:r>
      <w:r>
        <w:rPr>
          <w:rStyle w:val="Y-400-W-VoegeleHdBIP-GL-sect7-L-RN-9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FNAID0EXZL4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VoegeleHdBIP-GL-sect7-L-RN-9"/>
          <w:lang w:val="de" w:eastAsia="de"/>
        </w:rPr>
        <w:t>Ramge/</w:t>
      </w:r>
      <w:r>
        <w:rPr>
          <w:rStyle w:val="Y-400-W-VoegeleHdBIP-GL-sect7-L-RN-9"/>
          <w:rFonts w:ascii="Arial" w:eastAsia="Arial" w:hAnsi="Arial" w:cs="Arial"/>
          <w:lang w:val="de" w:eastAsia="de"/>
        </w:rPr>
        <w:t>​</w:t>
      </w:r>
      <w:r>
        <w:rPr>
          <w:rStyle w:val="Y-400-W-VoegeleHdBIP-GL-sect7-L-RN-9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FNAID0EXZL4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VoegeleHdBIP-GL-sect7-L-RN-9"/>
          <w:lang w:val="de" w:eastAsia="de"/>
        </w:rPr>
        <w:t>Leyens/</w:t>
      </w:r>
      <w:r>
        <w:rPr>
          <w:rStyle w:val="Y-400-W-VoegeleHdBIP-GL-sect7-L-RN-9"/>
          <w:rFonts w:ascii="Arial" w:eastAsia="Arial" w:hAnsi="Arial" w:cs="Arial"/>
          <w:lang w:val="de" w:eastAsia="de"/>
        </w:rPr>
        <w:t>​</w:t>
      </w:r>
      <w:r>
        <w:rPr>
          <w:rStyle w:val="Y-400-W-VoegeleHdBIP-GL-sect7-L-RN-9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FNAID0EXZL4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VoegeleHdBIP-GL-sect7-L-RN-9">
    <w:name w:val="Y-400-W-VoegeleHdBIP-GL-sect7-L-RN-9"/>
    <w:basedOn w:val="DefaultParagraphFont"/>
  </w:style>
  <w:style w:type="character" w:customStyle="1" w:styleId="FNAID0EXZL4">
    <w:name w:val="FNAID0EXZL4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