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Öffentliches Baurecht Kohlhammer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rügelmann" w:history="1">
        <w:bookmarkStart w:id="0" w:name="opus_195555"/>
        <w:r>
          <w:rPr>
            <w:color w:val="BD2826"/>
            <w:bdr w:val="none" w:sz="0" w:space="0" w:color="auto"/>
            <w:lang w:val="de" w:eastAsia="de"/>
          </w:rPr>
          <w:t>Brügelmann, Baugesetzbuch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5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Fickert" w:history="1">
        <w:bookmarkStart w:id="1" w:name="opus_184795"/>
        <w:r>
          <w:rPr>
            <w:color w:val="BD2826"/>
            <w:bdr w:val="none" w:sz="0" w:space="0" w:color="auto"/>
            <w:lang w:val="de" w:eastAsia="de"/>
          </w:rPr>
          <w:t>Fickert/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Fieseler, Baunutzungsverordnung</w:t>
        </w:r>
      </w:hyperlink>
      <w:bookmarkEnd w:id="1"/>
      <w:hyperlink r:id="rId6" w:anchor="opus_detail_184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auterLBO" w:history="1">
        <w:bookmarkStart w:id="2" w:name="opus_198232"/>
        <w:r>
          <w:rPr>
            <w:color w:val="BD2826"/>
            <w:bdr w:val="none" w:sz="0" w:space="0" w:color="auto"/>
            <w:lang w:val="de" w:eastAsia="de"/>
          </w:rPr>
          <w:t>Sauter, Landesbauordnung für Baden-Württemberg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8232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Grundlage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Folgendes Modul - mit Rabatt auf "Öffentliches Baurecht Kohlhammer" - ist für Sie vermutlich interessant: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9" w:history="1">
        <w:r>
          <w:rPr>
            <w:rStyle w:val="divbocenteralinknotbeck-btn"/>
            <w:lang w:val="de" w:eastAsia="de"/>
          </w:rPr>
          <w:t>Öffentliches Baurecht PLUS</w:t>
        </w:r>
      </w:hyperlink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06.06.2024 23:57 -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941?opusTitle=Br&#252;gelmann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430?opusTitle=Fickert" TargetMode="External" /><Relationship Id="rId8" Type="http://schemas.openxmlformats.org/officeDocument/2006/relationships/hyperlink" Target="https://beck-online.beck.de/Werk/20252?opusTitle=SauterLBO" TargetMode="External" /><Relationship Id="rId9" Type="http://schemas.openxmlformats.org/officeDocument/2006/relationships/hyperlink" Target="http://beck-online.beck.de/?modid=30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Öffentliches Baurecht Kohlhammer - beck-online</dc:title>
  <cp:revision>0</cp:revision>
</cp:coreProperties>
</file>