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beck.digitax 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igitax" w:history="1">
        <w:bookmarkStart w:id="0" w:name="opus_130929"/>
        <w:r>
          <w:rPr>
            <w:color w:val="BD2826"/>
            <w:bdr w:val="none" w:sz="0" w:space="0" w:color="auto"/>
            <w:lang w:val="de" w:eastAsia="de"/>
          </w:rPr>
          <w:t>beck.digitax</w:t>
        </w:r>
      </w:hyperlink>
      <w:bookmarkEnd w:id="0"/>
      <w:hyperlink r:id="rId6" w:anchor="opus_detail_130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igitax-Beih" w:history="1">
        <w:bookmarkStart w:id="1" w:name="opus_147174"/>
        <w:r>
          <w:rPr>
            <w:color w:val="BD2826"/>
            <w:bdr w:val="none" w:sz="0" w:space="0" w:color="auto"/>
            <w:lang w:val="de" w:eastAsia="de"/>
          </w:rPr>
          <w:t>beck.digitax Beihefter</w:t>
        </w:r>
      </w:hyperlink>
      <w:bookmarkEnd w:id="1"/>
      <w:hyperlink r:id="rId6" w:anchor="opus_detail_14717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091?opusTitle=Digitax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428?opusTitle=Digitax-Beih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beck.digitax Direkt - beck-online</dc:title>
  <cp:revision>0</cp:revision>
</cp:coreProperties>
</file>