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ErbRDirekt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bR" w:history="1">
        <w:bookmarkStart w:id="0" w:name="opus_114521"/>
        <w:r>
          <w:rPr>
            <w:color w:val="BD2826"/>
            <w:bdr w:val="none" w:sz="0" w:space="0" w:color="auto"/>
            <w:lang w:val="de" w:eastAsia="de"/>
          </w:rPr>
          <w:t>ErbR – Zeitschrift für die gesamte erbrechtliche Praxis, ab 2006</w:t>
        </w:r>
      </w:hyperlink>
      <w:bookmarkEnd w:id="0"/>
      <w:hyperlink r:id="rId6" w:anchor="opus_detail_11452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9783?opusTitle=E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ErbRDirekt - beck-online</dc:title>
  <cp:revision>0</cp:revision>
</cp:coreProperties>
</file>