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R" w:history="1">
        <w:bookmarkStart w:id="0" w:name="opus_95460"/>
        <w:r>
          <w:rPr>
            <w:color w:val="BD2826"/>
            <w:bdr w:val="none" w:sz="0" w:space="0" w:color="auto"/>
            <w:lang w:val="de" w:eastAsia="de"/>
          </w:rPr>
          <w:t>IR - InfrastrukturRecht, ab 2004</w:t>
        </w:r>
      </w:hyperlink>
      <w:bookmarkEnd w:id="0"/>
      <w:hyperlink r:id="rId6" w:anchor="opus_detail_9546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ormen in IR" w:history="1">
        <w:bookmarkStart w:id="1" w:name="opus_95459"/>
        <w:r>
          <w:rPr>
            <w:color w:val="BD2826"/>
            <w:bdr w:val="none" w:sz="0" w:space="0" w:color="auto"/>
            <w:lang w:val="de" w:eastAsia="de"/>
          </w:rPr>
          <w:t>In IR viel zitierte Normen</w:t>
        </w:r>
      </w:hyperlink>
      <w:bookmarkEnd w:id="1"/>
      <w:hyperlink r:id="rId6" w:anchor="opus_detail_95459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374?opusTitle=I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95459?cat=coll&amp;xml=gesetze%2Fbund&amp;coll=In IR viel zitierte Norme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IRDirekt - beck-online</dc:title>
  <cp:revision>0</cp:revision>
</cp:coreProperties>
</file>