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NZSDirekt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S" w:history="1">
        <w:bookmarkStart w:id="0" w:name="opus_88856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0"/>
      <w:hyperlink r:id="rId6" w:anchor="opus_detail_88856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ZGSozR" w:history="1">
        <w:bookmarkStart w:id="1" w:name="opus_88857"/>
        <w:r>
          <w:rPr>
            <w:color w:val="BD2826"/>
            <w:bdr w:val="none" w:sz="0" w:space="0" w:color="auto"/>
            <w:lang w:val="de" w:eastAsia="de"/>
          </w:rPr>
          <w:t>Zentrale Gesetze zum Sozialrecht</w:t>
        </w:r>
      </w:hyperlink>
      <w:bookmarkEnd w:id="1"/>
      <w:hyperlink r:id="rId6" w:anchor="opus_detail_88857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?opusTitle=NZS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88857?cat=coll&amp;xml=gesetze%2Fbund&amp;coll=Zentrale Gesetze zum Sozialrecht&amp;opusTitle=ZGSozR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NZSDirekt - beck-online</dc:title>
  <cp:revision>0</cp:revision>
</cp:coreProperties>
</file>