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ZfWG, Zeitschrift für Wett- und Glücksspielrecht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3" w:color="auto"/>
        </w:pBdr>
        <w:ind w:left="510" w:right="210"/>
        <w:rPr>
          <w:lang w:val="de" w:eastAsia="de"/>
        </w:rPr>
      </w:pPr>
      <w:hyperlink r:id="rId5" w:tgtFrame="_self" w:tooltip="ZfWG" w:history="1">
        <w:bookmarkStart w:id="0" w:name="opus_79620"/>
        <w:r>
          <w:rPr>
            <w:color w:val="BD2826"/>
            <w:bdr w:val="none" w:sz="0" w:space="0" w:color="auto"/>
            <w:lang w:val="de" w:eastAsia="de"/>
          </w:rPr>
          <w:t>ZfWG - Zeitschrift für Wett- und Glücksspielrecht, ab 2006</w:t>
        </w:r>
      </w:hyperlink>
      <w:bookmarkEnd w:id="0"/>
      <w:hyperlink r:id="rId6" w:anchor="opus_detail_79620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6?opusTitle=ZfW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ZfWG, Zeitschrift für Wett- und Glücksspielrecht - beck-online</dc:title>
  <cp:revision>0</cp:revision>
</cp:coreProperties>
</file>