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RAW, Recht Automobil Wirtschaft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RAW" w:history="1">
        <w:bookmarkStart w:id="0" w:name="opus_84907"/>
        <w:r>
          <w:rPr>
            <w:color w:val="BD2826"/>
            <w:bdr w:val="none" w:sz="0" w:space="0" w:color="auto"/>
            <w:lang w:val="de" w:eastAsia="de"/>
          </w:rPr>
          <w:t>RAW - Recht Automobil Wirtschaft, ab 2013</w:t>
        </w:r>
      </w:hyperlink>
      <w:bookmarkEnd w:id="0"/>
      <w:hyperlink r:id="rId6" w:anchor="opus_detail_84907" w:tooltip="Zur Werksübersicht springen" w:history="1"/>
    </w:p>
    <w:sectPr>
      <w:headerReference w:type="default" r:id="rId7"/>
      <w:footerReference w:type="default" r:id="rId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13:59 -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6117?opusTitle=RAW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RAW, Recht Automobil Wirtschaft - beck-online</dc:title>
  <cp:revision>0</cp:revision>
</cp:coreProperties>
</file>