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Sartorius PLUS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Sartorius" w:history="1">
        <w:bookmarkStart w:id="0" w:name="opus_17547"/>
        <w:r>
          <w:rPr>
            <w:color w:val="BD2826"/>
            <w:bdr w:val="none" w:sz="0" w:space="0" w:color="auto"/>
            <w:lang w:val="de" w:eastAsia="de"/>
          </w:rPr>
          <w:t>Sartorius plus</w:t>
        </w:r>
      </w:hyperlink>
      <w:bookmarkEnd w:id="0"/>
      <w:hyperlink r:id="rId6" w:anchor="opus_detail_17547" w:tooltip="Zur Werksübersicht springen" w:history="1"/>
    </w:p>
    <w:sectPr>
      <w:headerReference w:type="default" r:id="rId7"/>
      <w:footerReference w:type="default" r:id="rId8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15:27 -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rightmvcWidgetulliawidget-offennth-last-child1">
    <w:name w:val="bo_righ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rightmvcWidgetulliullidiv">
    <w:name w:val="bo_right_mvcWidget &gt; ul &gt; li_ul &gt; li &gt; div"/>
    <w:basedOn w:val="Normal"/>
    <w:pPr>
      <w:pBdr>
        <w:left w:val="none" w:sz="0" w:space="8" w:color="auto"/>
      </w:pBdr>
    </w:pPr>
  </w:style>
  <w:style w:type="paragraph" w:customStyle="1" w:styleId="borightmvcWidgetnotmeineWerkeulliullia">
    <w:name w:val="bo_right_mvcWidget_not(.meineWerke) &gt; ul &gt; li_ul &gt; li_a"/>
    <w:basedOn w:val="Normal"/>
    <w:pPr>
      <w:pBdr>
        <w:left w:val="none" w:sz="0" w:space="8" w:color="auto"/>
      </w:pBdr>
    </w:pPr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Sammlungen/17547?cat=coll&amp;xml=gesetze%2Fbund&amp;coll=Sartorius plus%2C Verfassungs- und Verwaltungsgesetze&amp;opusTitle=Sartorius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Sartorius PLUS - beck-online</dc:title>
  <cp:revision>0</cp:revision>
</cp:coreProperties>
</file>