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02.06.2024 14:02 -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rightmvcWidgetulliawidget-offennth-last-child1">
    <w:name w:val="bo_right_mvcWidget_ul_li_a_widget-offen_nth-last-child(1)"/>
    <w:basedOn w:val="Normal"/>
    <w:pPr>
      <w:pBdr>
        <w:bottom w:val="none" w:sz="0" w:space="0" w:color="auto"/>
      </w:pBdr>
    </w:pPr>
  </w:style>
  <w:style w:type="paragraph" w:customStyle="1" w:styleId="borightmvcWidgetulliullidiv">
    <w:name w:val="bo_right_mvcWidget &gt; ul &gt; li_ul &gt; li &gt; div"/>
    <w:basedOn w:val="Normal"/>
    <w:pPr>
      <w:pBdr>
        <w:left w:val="none" w:sz="0" w:space="8" w:color="auto"/>
      </w:pBdr>
    </w:pPr>
  </w:style>
  <w:style w:type="paragraph" w:customStyle="1" w:styleId="borightmvcWidgetnotmeineWerkeulliullia">
    <w:name w:val="bo_right_mvcWidget_not(.meineWerke) &gt; ul &gt; li_ul &gt; li_a"/>
    <w:basedOn w:val="Normal"/>
    <w:pPr>
      <w:pBdr>
        <w:left w:val="none" w:sz="0" w:space="8" w:color="auto"/>
      </w:pBdr>
    </w:pPr>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