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Cochran-Hildmann/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Stefanova-Behlert/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Poepping/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Ramge/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Leyens/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18:50 -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