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GewArch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GewArch" w:history="1">
        <w:bookmarkStart w:id="0" w:name="opus_17436"/>
        <w:r>
          <w:rPr>
            <w:color w:val="BD2826"/>
            <w:bdr w:val="none" w:sz="0" w:space="0" w:color="auto"/>
            <w:lang w:val="de" w:eastAsia="de"/>
          </w:rPr>
          <w:t>GewArch- Gewerbearchiv, ab 2000</w:t>
        </w:r>
      </w:hyperlink>
      <w:bookmarkEnd w:id="0"/>
      <w:hyperlink r:id="rId6" w:anchor="opus_detail_17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Verw" w:history="1">
        <w:bookmarkStart w:id="1" w:name="opus_17437"/>
        <w:r>
          <w:rPr>
            <w:color w:val="BD2826"/>
            <w:bdr w:val="none" w:sz="0" w:space="0" w:color="auto"/>
            <w:lang w:val="de" w:eastAsia="de"/>
          </w:rPr>
          <w:t>WiVerw - Wirtschaft und Verwaltung, ab 2005</w:t>
        </w:r>
      </w:hyperlink>
      <w:bookmarkEnd w:id="1"/>
      <w:hyperlink r:id="rId6" w:anchor="opus_detail_17437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216?opusTitle=GewArch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217?opusTitle=WiVerw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GewArch PLUS - beck-online</dc:title>
  <cp:revision>0</cp:revision>
</cp:coreProperties>
</file>